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54" w:rsidRDefault="00B34854" w:rsidP="00B34854">
      <w:pPr>
        <w:pStyle w:val="Titel"/>
        <w:ind w:left="720"/>
        <w:jc w:val="center"/>
        <w:rPr>
          <w:rStyle w:val="StandardWebZchn"/>
          <w:rFonts w:ascii="Verdana" w:eastAsia="Times New Roman" w:hAnsi="Verdana" w:hint="default"/>
          <w:b/>
          <w:sz w:val="20"/>
          <w:szCs w:val="20"/>
        </w:rPr>
      </w:pPr>
      <w:r>
        <w:rPr>
          <w:rStyle w:val="StandardWebZchn"/>
          <w:rFonts w:ascii="Verdana" w:eastAsia="Times New Roman" w:hAnsi="Verdana" w:hint="default"/>
          <w:b/>
          <w:sz w:val="20"/>
          <w:szCs w:val="20"/>
        </w:rPr>
        <w:t>Mündliche Fragen Ausschuss IV 09.09.2015</w:t>
      </w:r>
    </w:p>
    <w:p w:rsidR="00597E6D" w:rsidRPr="00597E6D" w:rsidRDefault="00597E6D" w:rsidP="00597E6D">
      <w:pPr>
        <w:pStyle w:val="Listenabsatz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597E6D">
        <w:rPr>
          <w:rFonts w:ascii="Verdana" w:hAnsi="Verdana"/>
          <w:b/>
          <w:sz w:val="20"/>
          <w:szCs w:val="20"/>
        </w:rPr>
        <w:t>Frage von Herrn Wolfgang REUTER (</w:t>
      </w:r>
      <w:proofErr w:type="spellStart"/>
      <w:r w:rsidRPr="00597E6D">
        <w:rPr>
          <w:rFonts w:ascii="Verdana" w:hAnsi="Verdana"/>
          <w:b/>
          <w:sz w:val="20"/>
          <w:szCs w:val="20"/>
        </w:rPr>
        <w:t>ProDG</w:t>
      </w:r>
      <w:proofErr w:type="spellEnd"/>
      <w:r w:rsidRPr="00597E6D">
        <w:rPr>
          <w:rFonts w:ascii="Verdana" w:hAnsi="Verdana"/>
          <w:b/>
          <w:sz w:val="20"/>
          <w:szCs w:val="20"/>
        </w:rPr>
        <w:t xml:space="preserve">) an Herrn Minister Antonios ANTONIADIS zur Entwicklung jugendlicher </w:t>
      </w:r>
      <w:proofErr w:type="spellStart"/>
      <w:r w:rsidRPr="00597E6D">
        <w:rPr>
          <w:rFonts w:ascii="Verdana" w:hAnsi="Verdana"/>
          <w:b/>
          <w:sz w:val="20"/>
          <w:szCs w:val="20"/>
        </w:rPr>
        <w:t>Minimex</w:t>
      </w:r>
      <w:proofErr w:type="spellEnd"/>
      <w:r w:rsidRPr="00597E6D">
        <w:rPr>
          <w:rFonts w:ascii="Verdana" w:hAnsi="Verdana"/>
          <w:b/>
          <w:sz w:val="20"/>
          <w:szCs w:val="20"/>
        </w:rPr>
        <w:t>-Empfänger in der DG</w:t>
      </w:r>
    </w:p>
    <w:p w:rsidR="00597E6D" w:rsidRPr="001276CC" w:rsidRDefault="00597E6D" w:rsidP="00597E6D">
      <w:pPr>
        <w:jc w:val="both"/>
        <w:rPr>
          <w:rFonts w:ascii="Verdana" w:hAnsi="Verdana"/>
          <w:sz w:val="20"/>
          <w:szCs w:val="20"/>
        </w:rPr>
      </w:pPr>
      <w:r w:rsidRPr="001276CC">
        <w:rPr>
          <w:rFonts w:ascii="Verdana" w:hAnsi="Verdana"/>
          <w:sz w:val="20"/>
          <w:szCs w:val="20"/>
        </w:rPr>
        <w:t xml:space="preserve">Am 31.7. veröffentlichten „Le </w:t>
      </w:r>
      <w:proofErr w:type="spellStart"/>
      <w:r w:rsidRPr="001276CC">
        <w:rPr>
          <w:rFonts w:ascii="Verdana" w:hAnsi="Verdana"/>
          <w:sz w:val="20"/>
          <w:szCs w:val="20"/>
        </w:rPr>
        <w:t>Soir</w:t>
      </w:r>
      <w:proofErr w:type="spellEnd"/>
      <w:r w:rsidRPr="001276CC">
        <w:rPr>
          <w:rFonts w:ascii="Verdana" w:hAnsi="Verdana"/>
          <w:sz w:val="20"/>
          <w:szCs w:val="20"/>
        </w:rPr>
        <w:t xml:space="preserve">“ und „De </w:t>
      </w:r>
      <w:proofErr w:type="spellStart"/>
      <w:r w:rsidRPr="001276CC">
        <w:rPr>
          <w:rFonts w:ascii="Verdana" w:hAnsi="Verdana"/>
          <w:sz w:val="20"/>
          <w:szCs w:val="20"/>
        </w:rPr>
        <w:t>Standaard</w:t>
      </w:r>
      <w:proofErr w:type="spellEnd"/>
      <w:r w:rsidRPr="001276CC">
        <w:rPr>
          <w:rFonts w:ascii="Verdana" w:hAnsi="Verdana"/>
          <w:sz w:val="20"/>
          <w:szCs w:val="20"/>
        </w:rPr>
        <w:t xml:space="preserve">“ erschreckende Zahlen zur Entwicklung der </w:t>
      </w:r>
      <w:proofErr w:type="spellStart"/>
      <w:r w:rsidRPr="001276CC">
        <w:rPr>
          <w:rFonts w:ascii="Verdana" w:hAnsi="Verdana"/>
          <w:sz w:val="20"/>
          <w:szCs w:val="20"/>
        </w:rPr>
        <w:t>Minimex</w:t>
      </w:r>
      <w:proofErr w:type="spellEnd"/>
      <w:r w:rsidRPr="001276CC">
        <w:rPr>
          <w:rFonts w:ascii="Verdana" w:hAnsi="Verdana"/>
          <w:sz w:val="20"/>
          <w:szCs w:val="20"/>
        </w:rPr>
        <w:t>-Empfänger bei den 18- bis 25-Jährigen. In den letzten 9 Jahren (2005-2014) ist diese Zahl in Belgien um knapp 39% gestiegen. Dies ist vor allem den schlechteren wirtschaftlichen Zuständen de</w:t>
      </w:r>
      <w:r>
        <w:rPr>
          <w:rFonts w:ascii="Verdana" w:hAnsi="Verdana"/>
          <w:sz w:val="20"/>
          <w:szCs w:val="20"/>
        </w:rPr>
        <w:t>r vergangenen Jahre geschuldet.</w:t>
      </w:r>
    </w:p>
    <w:p w:rsidR="00597E6D" w:rsidRPr="001276CC" w:rsidRDefault="00597E6D" w:rsidP="00597E6D">
      <w:pPr>
        <w:jc w:val="both"/>
        <w:rPr>
          <w:rFonts w:ascii="Verdana" w:hAnsi="Verdana"/>
          <w:sz w:val="20"/>
          <w:szCs w:val="20"/>
        </w:rPr>
      </w:pPr>
      <w:r w:rsidRPr="001276CC">
        <w:rPr>
          <w:rFonts w:ascii="Verdana" w:hAnsi="Verdana"/>
          <w:sz w:val="20"/>
          <w:szCs w:val="20"/>
        </w:rPr>
        <w:t xml:space="preserve">Es gibt jedoch auch starke regionale Unterschiede.  Am gravierendsten ist die Entwicklung in Brüssel, dort gibt es sogar einen Zuwachs von 74%. In der </w:t>
      </w:r>
      <w:proofErr w:type="spellStart"/>
      <w:r w:rsidRPr="001276CC">
        <w:rPr>
          <w:rFonts w:ascii="Verdana" w:hAnsi="Verdana"/>
          <w:sz w:val="20"/>
          <w:szCs w:val="20"/>
        </w:rPr>
        <w:t>Wallonie</w:t>
      </w:r>
      <w:proofErr w:type="spellEnd"/>
      <w:r w:rsidRPr="001276CC">
        <w:rPr>
          <w:rFonts w:ascii="Verdana" w:hAnsi="Verdana"/>
          <w:sz w:val="20"/>
          <w:szCs w:val="20"/>
        </w:rPr>
        <w:t xml:space="preserve"> sind es 36%,  in Flandern 17%. Bei Studenten sind diese Zahlen noch wesentlich höher und liegen landesweit bei +82% (158% in Brüssel, 63% in </w:t>
      </w:r>
      <w:r>
        <w:rPr>
          <w:rFonts w:ascii="Verdana" w:hAnsi="Verdana"/>
          <w:sz w:val="20"/>
          <w:szCs w:val="20"/>
        </w:rPr>
        <w:t xml:space="preserve">der </w:t>
      </w:r>
      <w:proofErr w:type="spellStart"/>
      <w:r>
        <w:rPr>
          <w:rFonts w:ascii="Verdana" w:hAnsi="Verdana"/>
          <w:sz w:val="20"/>
          <w:szCs w:val="20"/>
        </w:rPr>
        <w:t>Wallonie</w:t>
      </w:r>
      <w:proofErr w:type="spellEnd"/>
      <w:r>
        <w:rPr>
          <w:rFonts w:ascii="Verdana" w:hAnsi="Verdana"/>
          <w:sz w:val="20"/>
          <w:szCs w:val="20"/>
        </w:rPr>
        <w:t>, 62% in Flandern).</w:t>
      </w:r>
    </w:p>
    <w:p w:rsidR="00597E6D" w:rsidRPr="001276CC" w:rsidRDefault="00597E6D" w:rsidP="00597E6D">
      <w:pPr>
        <w:jc w:val="both"/>
        <w:rPr>
          <w:rFonts w:ascii="Verdana" w:hAnsi="Verdana"/>
          <w:sz w:val="20"/>
          <w:szCs w:val="20"/>
        </w:rPr>
      </w:pPr>
      <w:r w:rsidRPr="001276CC">
        <w:rPr>
          <w:rFonts w:ascii="Verdana" w:hAnsi="Verdana"/>
          <w:sz w:val="20"/>
          <w:szCs w:val="20"/>
        </w:rPr>
        <w:t xml:space="preserve">Hierzu meine Frage an Sie, Herr Minister, im Hinblick, dass sich </w:t>
      </w:r>
      <w:proofErr w:type="spellStart"/>
      <w:r w:rsidRPr="001276CC">
        <w:rPr>
          <w:rFonts w:ascii="Verdana" w:hAnsi="Verdana"/>
          <w:sz w:val="20"/>
          <w:szCs w:val="20"/>
        </w:rPr>
        <w:t>ProDG</w:t>
      </w:r>
      <w:proofErr w:type="spellEnd"/>
      <w:r w:rsidRPr="001276CC">
        <w:rPr>
          <w:rFonts w:ascii="Verdana" w:hAnsi="Verdana"/>
          <w:sz w:val="20"/>
          <w:szCs w:val="20"/>
        </w:rPr>
        <w:t xml:space="preserve"> in den letzten Jahren verstärkt für eine solide Bildung der jungen Mens</w:t>
      </w:r>
      <w:r>
        <w:rPr>
          <w:rFonts w:ascii="Verdana" w:hAnsi="Verdana"/>
          <w:sz w:val="20"/>
          <w:szCs w:val="20"/>
        </w:rPr>
        <w:t>chen in der DG eingesetzt hat :</w:t>
      </w:r>
    </w:p>
    <w:p w:rsidR="009B5AEC" w:rsidRDefault="00597E6D" w:rsidP="00597E6D">
      <w:pPr>
        <w:jc w:val="both"/>
        <w:rPr>
          <w:rFonts w:ascii="Verdana" w:hAnsi="Verdana"/>
          <w:i/>
          <w:sz w:val="20"/>
          <w:szCs w:val="20"/>
        </w:rPr>
      </w:pPr>
      <w:r w:rsidRPr="001276CC">
        <w:rPr>
          <w:rFonts w:ascii="Verdana" w:hAnsi="Verdana"/>
          <w:i/>
          <w:sz w:val="20"/>
          <w:szCs w:val="20"/>
        </w:rPr>
        <w:t xml:space="preserve">Wie sieht </w:t>
      </w:r>
      <w:r>
        <w:rPr>
          <w:rFonts w:ascii="Verdana" w:hAnsi="Verdana"/>
          <w:i/>
          <w:sz w:val="20"/>
          <w:szCs w:val="20"/>
        </w:rPr>
        <w:t>diese Entwicklung in der DG aus</w:t>
      </w:r>
      <w:r w:rsidRPr="001276CC">
        <w:rPr>
          <w:rFonts w:ascii="Verdana" w:hAnsi="Verdana"/>
          <w:i/>
          <w:sz w:val="20"/>
          <w:szCs w:val="20"/>
        </w:rPr>
        <w:t>?</w:t>
      </w:r>
    </w:p>
    <w:p w:rsidR="009B5AEC" w:rsidRDefault="009B5AEC" w:rsidP="00597E6D">
      <w:pPr>
        <w:jc w:val="both"/>
        <w:rPr>
          <w:rFonts w:ascii="Verdana" w:hAnsi="Verdana"/>
          <w:i/>
          <w:sz w:val="20"/>
          <w:szCs w:val="20"/>
        </w:rPr>
        <w:sectPr w:rsidR="009B5AE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87F2C" w:rsidRPr="00C87F2C" w:rsidRDefault="00C87F2C" w:rsidP="00C87F2C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C87F2C">
        <w:rPr>
          <w:rFonts w:ascii="Verdana" w:hAnsi="Verdana"/>
          <w:b/>
          <w:sz w:val="20"/>
          <w:szCs w:val="20"/>
          <w:u w:val="single"/>
        </w:rPr>
        <w:t xml:space="preserve">Antwort von </w:t>
      </w:r>
      <w:r w:rsidR="00A80E7F">
        <w:rPr>
          <w:rFonts w:ascii="Verdana" w:hAnsi="Verdana"/>
          <w:b/>
          <w:sz w:val="20"/>
          <w:szCs w:val="20"/>
          <w:u w:val="single"/>
        </w:rPr>
        <w:t xml:space="preserve">Minister </w:t>
      </w:r>
      <w:r w:rsidRPr="00C87F2C">
        <w:rPr>
          <w:rFonts w:ascii="Verdana" w:hAnsi="Verdana"/>
          <w:b/>
          <w:sz w:val="20"/>
          <w:szCs w:val="20"/>
          <w:u w:val="single"/>
        </w:rPr>
        <w:t>Antonios Antoniadis</w:t>
      </w:r>
    </w:p>
    <w:p w:rsidR="00C87F2C" w:rsidRDefault="00C87F2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Pr="00D273B2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Pr="00D273B2" w:rsidRDefault="009B5AEC" w:rsidP="009B5AEC">
      <w:p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Zum Vergleich der von Ihnen</w:t>
      </w:r>
      <w:r>
        <w:rPr>
          <w:rFonts w:ascii="Verdana" w:hAnsi="Verdana"/>
          <w:sz w:val="20"/>
          <w:szCs w:val="20"/>
        </w:rPr>
        <w:t xml:space="preserve"> angeführten Zahlen</w:t>
      </w:r>
      <w:r w:rsidRPr="00D273B2">
        <w:rPr>
          <w:rFonts w:ascii="Verdana" w:hAnsi="Verdana"/>
          <w:sz w:val="20"/>
          <w:szCs w:val="20"/>
        </w:rPr>
        <w:t xml:space="preserve"> konnte der Fachbereich</w:t>
      </w:r>
      <w:r>
        <w:rPr>
          <w:rFonts w:ascii="Verdana" w:hAnsi="Verdana"/>
          <w:sz w:val="20"/>
          <w:szCs w:val="20"/>
        </w:rPr>
        <w:t xml:space="preserve"> Soziales</w:t>
      </w:r>
      <w:r w:rsidRPr="00D273B2">
        <w:rPr>
          <w:rFonts w:ascii="Verdana" w:hAnsi="Verdana"/>
          <w:sz w:val="20"/>
          <w:szCs w:val="20"/>
        </w:rPr>
        <w:t xml:space="preserve"> mir folgende </w:t>
      </w:r>
      <w:r>
        <w:rPr>
          <w:rFonts w:ascii="Verdana" w:hAnsi="Verdana"/>
          <w:sz w:val="20"/>
          <w:szCs w:val="20"/>
        </w:rPr>
        <w:t>Daten für die</w:t>
      </w:r>
      <w:r w:rsidRPr="00D273B2">
        <w:rPr>
          <w:rFonts w:ascii="Verdana" w:hAnsi="Verdana"/>
          <w:sz w:val="20"/>
          <w:szCs w:val="20"/>
        </w:rPr>
        <w:t xml:space="preserve"> DG </w:t>
      </w:r>
      <w:r>
        <w:rPr>
          <w:rFonts w:ascii="Verdana" w:hAnsi="Verdana"/>
          <w:sz w:val="20"/>
          <w:szCs w:val="20"/>
        </w:rPr>
        <w:t>liefern. Es geht hier um den prozentualen Anstieg der Anzahl Empfänger von Eingliederungseinkommen im Zeitraum von 2005 bis 2014.</w:t>
      </w:r>
    </w:p>
    <w:p w:rsidR="009B5AEC" w:rsidRPr="00D273B2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Pr="00D273B2" w:rsidRDefault="009B5AEC" w:rsidP="009B5AEC">
      <w:pPr>
        <w:pStyle w:val="Listenabsatz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 xml:space="preserve">Empfänger vom </w:t>
      </w:r>
      <w:r>
        <w:rPr>
          <w:rFonts w:ascii="Verdana" w:hAnsi="Verdana"/>
          <w:sz w:val="20"/>
          <w:szCs w:val="20"/>
        </w:rPr>
        <w:t>E</w:t>
      </w:r>
      <w:r w:rsidRPr="00D273B2">
        <w:rPr>
          <w:rFonts w:ascii="Verdana" w:hAnsi="Verdana"/>
          <w:sz w:val="20"/>
          <w:szCs w:val="20"/>
        </w:rPr>
        <w:t xml:space="preserve">ingliederungseinkommen </w:t>
      </w:r>
      <w:r>
        <w:rPr>
          <w:rFonts w:ascii="Verdana" w:hAnsi="Verdana"/>
          <w:sz w:val="20"/>
          <w:szCs w:val="20"/>
        </w:rPr>
        <w:t>der</w:t>
      </w:r>
      <w:r w:rsidRPr="00D273B2">
        <w:rPr>
          <w:rFonts w:ascii="Verdana" w:hAnsi="Verdana"/>
          <w:sz w:val="20"/>
          <w:szCs w:val="20"/>
        </w:rPr>
        <w:t xml:space="preserve"> 18- bis 25 Jährige</w:t>
      </w:r>
      <w:r>
        <w:rPr>
          <w:rFonts w:ascii="Verdana" w:hAnsi="Verdana"/>
          <w:sz w:val="20"/>
          <w:szCs w:val="20"/>
        </w:rPr>
        <w:t>n</w:t>
      </w:r>
      <w:r w:rsidRPr="00D273B2">
        <w:rPr>
          <w:rFonts w:ascii="Verdana" w:hAnsi="Verdana"/>
          <w:sz w:val="20"/>
          <w:szCs w:val="20"/>
        </w:rPr>
        <w:t xml:space="preserve"> – Vergleich 2005-2014: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Belgien</w:t>
      </w:r>
      <w:r w:rsidRPr="00D273B2">
        <w:rPr>
          <w:rFonts w:ascii="Verdana" w:hAnsi="Verdana"/>
          <w:sz w:val="20"/>
          <w:szCs w:val="20"/>
        </w:rPr>
        <w:tab/>
        <w:t>+ 39 %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Brüssel</w:t>
      </w:r>
      <w:r w:rsidRPr="00D273B2">
        <w:rPr>
          <w:rFonts w:ascii="Verdana" w:hAnsi="Verdana"/>
          <w:sz w:val="20"/>
          <w:szCs w:val="20"/>
        </w:rPr>
        <w:tab/>
        <w:t>+ 74 %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proofErr w:type="spellStart"/>
      <w:r w:rsidRPr="00D273B2">
        <w:rPr>
          <w:rFonts w:ascii="Verdana" w:hAnsi="Verdana"/>
          <w:sz w:val="20"/>
          <w:szCs w:val="20"/>
        </w:rPr>
        <w:t>Wallonie</w:t>
      </w:r>
      <w:proofErr w:type="spellEnd"/>
      <w:r w:rsidRPr="00D273B2">
        <w:rPr>
          <w:rFonts w:ascii="Verdana" w:hAnsi="Verdana"/>
          <w:sz w:val="20"/>
          <w:szCs w:val="20"/>
        </w:rPr>
        <w:tab/>
        <w:t>+ 36 %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Flandern</w:t>
      </w:r>
      <w:r w:rsidRPr="00D273B2">
        <w:rPr>
          <w:rFonts w:ascii="Verdana" w:hAnsi="Verdana"/>
          <w:sz w:val="20"/>
          <w:szCs w:val="20"/>
        </w:rPr>
        <w:tab/>
        <w:t>+ 17 %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b/>
          <w:sz w:val="20"/>
          <w:szCs w:val="20"/>
        </w:rPr>
        <w:t>DG</w:t>
      </w:r>
      <w:r w:rsidRPr="00D273B2">
        <w:rPr>
          <w:rFonts w:ascii="Verdana" w:hAnsi="Verdana"/>
          <w:b/>
          <w:sz w:val="20"/>
          <w:szCs w:val="20"/>
        </w:rPr>
        <w:tab/>
      </w:r>
      <w:r w:rsidRPr="00D273B2">
        <w:rPr>
          <w:rFonts w:ascii="Verdana" w:hAnsi="Verdana"/>
          <w:b/>
          <w:sz w:val="20"/>
          <w:szCs w:val="20"/>
        </w:rPr>
        <w:tab/>
        <w:t>+ 45 %</w:t>
      </w:r>
    </w:p>
    <w:p w:rsidR="009B5AEC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Pr="00D273B2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Pr="00D273B2" w:rsidRDefault="009B5AEC" w:rsidP="009B5AEC">
      <w:pPr>
        <w:pStyle w:val="Listenabsatz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Empfänger vo</w:t>
      </w:r>
      <w:r>
        <w:rPr>
          <w:rFonts w:ascii="Verdana" w:hAnsi="Verdana"/>
          <w:sz w:val="20"/>
          <w:szCs w:val="20"/>
        </w:rPr>
        <w:t>n</w:t>
      </w:r>
      <w:r w:rsidRPr="00D273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</w:t>
      </w:r>
      <w:r w:rsidRPr="00D273B2">
        <w:rPr>
          <w:rFonts w:ascii="Verdana" w:hAnsi="Verdana"/>
          <w:sz w:val="20"/>
          <w:szCs w:val="20"/>
        </w:rPr>
        <w:t>ingliederungseinkommen bei Studenten – Vergleich 2005-2014: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Belgien</w:t>
      </w:r>
      <w:r w:rsidRPr="00D273B2">
        <w:rPr>
          <w:rFonts w:ascii="Verdana" w:hAnsi="Verdana"/>
          <w:sz w:val="20"/>
          <w:szCs w:val="20"/>
        </w:rPr>
        <w:tab/>
        <w:t>+ 82 %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Brüssel</w:t>
      </w:r>
      <w:r w:rsidRPr="00D273B2">
        <w:rPr>
          <w:rFonts w:ascii="Verdana" w:hAnsi="Verdana"/>
          <w:sz w:val="20"/>
          <w:szCs w:val="20"/>
        </w:rPr>
        <w:tab/>
        <w:t>+ 158 %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proofErr w:type="spellStart"/>
      <w:r w:rsidRPr="00D273B2">
        <w:rPr>
          <w:rFonts w:ascii="Verdana" w:hAnsi="Verdana"/>
          <w:sz w:val="20"/>
          <w:szCs w:val="20"/>
        </w:rPr>
        <w:t>Wallonie</w:t>
      </w:r>
      <w:proofErr w:type="spellEnd"/>
      <w:r w:rsidRPr="00D273B2">
        <w:rPr>
          <w:rFonts w:ascii="Verdana" w:hAnsi="Verdana"/>
          <w:sz w:val="20"/>
          <w:szCs w:val="20"/>
        </w:rPr>
        <w:tab/>
        <w:t>+ 63 %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Flandern</w:t>
      </w:r>
      <w:r w:rsidRPr="00D273B2">
        <w:rPr>
          <w:rFonts w:ascii="Verdana" w:hAnsi="Verdana"/>
          <w:sz w:val="20"/>
          <w:szCs w:val="20"/>
        </w:rPr>
        <w:tab/>
        <w:t>+ 62 %</w:t>
      </w:r>
    </w:p>
    <w:p w:rsidR="009B5AEC" w:rsidRPr="00003FED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b/>
          <w:sz w:val="20"/>
          <w:szCs w:val="20"/>
        </w:rPr>
        <w:t>DG</w:t>
      </w:r>
      <w:r w:rsidRPr="00D273B2">
        <w:rPr>
          <w:rFonts w:ascii="Verdana" w:hAnsi="Verdana"/>
          <w:b/>
          <w:sz w:val="20"/>
          <w:szCs w:val="20"/>
        </w:rPr>
        <w:tab/>
      </w:r>
      <w:r w:rsidRPr="00D273B2">
        <w:rPr>
          <w:rFonts w:ascii="Verdana" w:hAnsi="Verdana"/>
          <w:b/>
          <w:sz w:val="20"/>
          <w:szCs w:val="20"/>
        </w:rPr>
        <w:tab/>
        <w:t>+ 261 %</w:t>
      </w:r>
    </w:p>
    <w:p w:rsidR="009B5AEC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Default="009B5AEC" w:rsidP="009B5AEC">
      <w:p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In absoluten Zahlen ist die Steigerung schon bedeutend.</w:t>
      </w:r>
      <w:r>
        <w:rPr>
          <w:rFonts w:ascii="Verdana" w:hAnsi="Verdana"/>
          <w:sz w:val="20"/>
          <w:szCs w:val="20"/>
        </w:rPr>
        <w:t xml:space="preserve"> I</w:t>
      </w:r>
      <w:r w:rsidRPr="00A93B88">
        <w:rPr>
          <w:rFonts w:ascii="Verdana" w:hAnsi="Verdana"/>
          <w:sz w:val="20"/>
          <w:szCs w:val="20"/>
        </w:rPr>
        <w:t xml:space="preserve">ch warne </w:t>
      </w:r>
      <w:r>
        <w:rPr>
          <w:rFonts w:ascii="Verdana" w:hAnsi="Verdana"/>
          <w:sz w:val="20"/>
          <w:szCs w:val="20"/>
        </w:rPr>
        <w:t xml:space="preserve">allerdings </w:t>
      </w:r>
      <w:r w:rsidRPr="00A93B88">
        <w:rPr>
          <w:rFonts w:ascii="Verdana" w:hAnsi="Verdana"/>
          <w:sz w:val="20"/>
          <w:szCs w:val="20"/>
        </w:rPr>
        <w:t xml:space="preserve">ausdrücklich davor, bei </w:t>
      </w:r>
      <w:r>
        <w:rPr>
          <w:rFonts w:ascii="Verdana" w:hAnsi="Verdana"/>
          <w:sz w:val="20"/>
          <w:szCs w:val="20"/>
        </w:rPr>
        <w:t>absoluten Zahlen</w:t>
      </w:r>
      <w:r w:rsidRPr="00A93B88">
        <w:rPr>
          <w:rFonts w:ascii="Verdana" w:hAnsi="Verdana"/>
          <w:sz w:val="20"/>
          <w:szCs w:val="20"/>
        </w:rPr>
        <w:t xml:space="preserve"> zu voreiligen Schlüssen zu kommen. </w:t>
      </w:r>
    </w:p>
    <w:p w:rsidR="006E2849" w:rsidRDefault="006E2849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Pr="00D273B2" w:rsidRDefault="009B5AEC" w:rsidP="009B5AEC">
      <w:pPr>
        <w:spacing w:after="0"/>
        <w:rPr>
          <w:rFonts w:ascii="Verdana" w:hAnsi="Verdana"/>
          <w:sz w:val="20"/>
          <w:szCs w:val="20"/>
        </w:rPr>
      </w:pPr>
      <w:r w:rsidRPr="00D273B2">
        <w:rPr>
          <w:rFonts w:ascii="Verdana" w:hAnsi="Verdana"/>
          <w:sz w:val="20"/>
          <w:szCs w:val="20"/>
        </w:rPr>
        <w:t>Erhielten in 2005 in</w:t>
      </w:r>
      <w:r>
        <w:rPr>
          <w:rFonts w:ascii="Verdana" w:hAnsi="Verdana"/>
          <w:sz w:val="20"/>
          <w:szCs w:val="20"/>
        </w:rPr>
        <w:t xml:space="preserve"> der DG insgesamt 44 Studenten E</w:t>
      </w:r>
      <w:r w:rsidRPr="00D273B2">
        <w:rPr>
          <w:rFonts w:ascii="Verdana" w:hAnsi="Verdana"/>
          <w:sz w:val="20"/>
          <w:szCs w:val="20"/>
        </w:rPr>
        <w:t xml:space="preserve">ingliederungseinkommen, so waren es in 2014 159. </w:t>
      </w:r>
      <w:r>
        <w:rPr>
          <w:rFonts w:ascii="Verdana" w:hAnsi="Verdana"/>
          <w:sz w:val="20"/>
          <w:szCs w:val="20"/>
        </w:rPr>
        <w:t>Eine mögliche Erklärung für den dramatischen Anstieg ist</w:t>
      </w:r>
      <w:r w:rsidRPr="00D273B2">
        <w:rPr>
          <w:rFonts w:ascii="Verdana" w:hAnsi="Verdana"/>
          <w:sz w:val="20"/>
          <w:szCs w:val="20"/>
        </w:rPr>
        <w:t xml:space="preserve"> sicherlich die </w:t>
      </w:r>
      <w:r>
        <w:rPr>
          <w:rFonts w:ascii="Verdana" w:hAnsi="Verdana"/>
          <w:sz w:val="20"/>
          <w:szCs w:val="20"/>
        </w:rPr>
        <w:t xml:space="preserve">sehr engmaschige und intensive </w:t>
      </w:r>
      <w:r w:rsidRPr="00D273B2">
        <w:rPr>
          <w:rFonts w:ascii="Verdana" w:hAnsi="Verdana"/>
          <w:sz w:val="20"/>
          <w:szCs w:val="20"/>
        </w:rPr>
        <w:t xml:space="preserve">Begleitung der jungen Erwachsenen </w:t>
      </w:r>
      <w:r>
        <w:rPr>
          <w:rFonts w:ascii="Verdana" w:hAnsi="Verdana"/>
          <w:sz w:val="20"/>
          <w:szCs w:val="20"/>
        </w:rPr>
        <w:t>durch die</w:t>
      </w:r>
      <w:r w:rsidRPr="00D273B2">
        <w:rPr>
          <w:rFonts w:ascii="Verdana" w:hAnsi="Verdana"/>
          <w:sz w:val="20"/>
          <w:szCs w:val="20"/>
        </w:rPr>
        <w:t xml:space="preserve"> ÖSHZ</w:t>
      </w:r>
      <w:r>
        <w:rPr>
          <w:rFonts w:ascii="Verdana" w:hAnsi="Verdana"/>
          <w:sz w:val="20"/>
          <w:szCs w:val="20"/>
        </w:rPr>
        <w:t xml:space="preserve">- Mitarbeiter. Diesen gelingt es demnach häufiger, die jungen Erwachsenen zur Aufnahme eines </w:t>
      </w:r>
      <w:r w:rsidRPr="00D273B2">
        <w:rPr>
          <w:rFonts w:ascii="Verdana" w:hAnsi="Verdana"/>
          <w:sz w:val="20"/>
          <w:szCs w:val="20"/>
        </w:rPr>
        <w:t>Studium</w:t>
      </w:r>
      <w:r>
        <w:rPr>
          <w:rFonts w:ascii="Verdana" w:hAnsi="Verdana"/>
          <w:sz w:val="20"/>
          <w:szCs w:val="20"/>
        </w:rPr>
        <w:t>s</w:t>
      </w:r>
      <w:r w:rsidRPr="00D273B2">
        <w:rPr>
          <w:rFonts w:ascii="Verdana" w:hAnsi="Verdana"/>
          <w:sz w:val="20"/>
          <w:szCs w:val="20"/>
        </w:rPr>
        <w:t xml:space="preserve"> zu </w:t>
      </w:r>
      <w:r>
        <w:rPr>
          <w:rFonts w:ascii="Verdana" w:hAnsi="Verdana"/>
          <w:sz w:val="20"/>
          <w:szCs w:val="20"/>
        </w:rPr>
        <w:t>bewegen</w:t>
      </w:r>
      <w:r w:rsidRPr="00D273B2">
        <w:rPr>
          <w:rFonts w:ascii="Verdana" w:hAnsi="Verdana"/>
          <w:sz w:val="20"/>
          <w:szCs w:val="20"/>
        </w:rPr>
        <w:t>.</w:t>
      </w:r>
    </w:p>
    <w:p w:rsidR="009B5AEC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Default="009B5AEC" w:rsidP="009B5AEC">
      <w:pPr>
        <w:spacing w:after="0"/>
        <w:rPr>
          <w:rFonts w:ascii="Verdana" w:hAnsi="Verdana"/>
          <w:sz w:val="20"/>
          <w:szCs w:val="20"/>
        </w:rPr>
      </w:pPr>
    </w:p>
    <w:p w:rsidR="009B5AEC" w:rsidRPr="00D273B2" w:rsidRDefault="009B5AEC" w:rsidP="009B5AE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D273B2">
        <w:rPr>
          <w:rFonts w:ascii="Verdana" w:hAnsi="Verdana"/>
          <w:sz w:val="20"/>
          <w:szCs w:val="20"/>
        </w:rPr>
        <w:t>olgende Gemeinden</w:t>
      </w:r>
      <w:r>
        <w:rPr>
          <w:rFonts w:ascii="Verdana" w:hAnsi="Verdana"/>
          <w:sz w:val="20"/>
          <w:szCs w:val="20"/>
        </w:rPr>
        <w:t xml:space="preserve"> sind am stärksten betroffen</w:t>
      </w:r>
      <w:r w:rsidRPr="00D273B2">
        <w:rPr>
          <w:rFonts w:ascii="Verdana" w:hAnsi="Verdana"/>
          <w:sz w:val="20"/>
          <w:szCs w:val="20"/>
        </w:rPr>
        <w:t>: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  <w:lang w:eastAsia="ja-JP"/>
        </w:rPr>
      </w:pPr>
      <w:r w:rsidRPr="00D273B2">
        <w:rPr>
          <w:rFonts w:ascii="Verdana" w:hAnsi="Verdana" w:cs="Arial"/>
          <w:sz w:val="20"/>
          <w:szCs w:val="20"/>
          <w:lang w:eastAsia="ja-JP"/>
        </w:rPr>
        <w:t>Eupen:</w:t>
      </w:r>
      <w:r w:rsidRPr="00D273B2">
        <w:rPr>
          <w:rFonts w:ascii="Verdana" w:hAnsi="Verdana" w:cs="Arial"/>
          <w:sz w:val="20"/>
          <w:szCs w:val="20"/>
          <w:lang w:eastAsia="ja-JP"/>
        </w:rPr>
        <w:tab/>
      </w:r>
      <w:r w:rsidRPr="00D273B2">
        <w:rPr>
          <w:rFonts w:ascii="Verdana" w:hAnsi="Verdana" w:cs="Arial"/>
          <w:sz w:val="20"/>
          <w:szCs w:val="20"/>
          <w:lang w:eastAsia="ja-JP"/>
        </w:rPr>
        <w:tab/>
        <w:t xml:space="preserve">von 22 auf 79, </w:t>
      </w:r>
      <w:r>
        <w:rPr>
          <w:rFonts w:ascii="Verdana" w:hAnsi="Verdana" w:cs="Arial"/>
          <w:sz w:val="20"/>
          <w:szCs w:val="20"/>
          <w:lang w:eastAsia="ja-JP"/>
        </w:rPr>
        <w:t>ein Plus</w:t>
      </w:r>
      <w:r w:rsidRPr="00D273B2">
        <w:rPr>
          <w:rFonts w:ascii="Verdana" w:hAnsi="Verdana" w:cs="Arial"/>
          <w:sz w:val="20"/>
          <w:szCs w:val="20"/>
          <w:lang w:eastAsia="ja-JP"/>
        </w:rPr>
        <w:t xml:space="preserve"> 57</w:t>
      </w:r>
      <w:r>
        <w:rPr>
          <w:rFonts w:ascii="Verdana" w:hAnsi="Verdana" w:cs="Arial"/>
          <w:sz w:val="20"/>
          <w:szCs w:val="20"/>
          <w:lang w:eastAsia="ja-JP"/>
        </w:rPr>
        <w:t xml:space="preserve"> Studenten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  <w:lang w:eastAsia="ja-JP"/>
        </w:rPr>
      </w:pPr>
      <w:proofErr w:type="spellStart"/>
      <w:r w:rsidRPr="00D273B2">
        <w:rPr>
          <w:rFonts w:ascii="Verdana" w:hAnsi="Verdana" w:cs="Arial"/>
          <w:sz w:val="20"/>
          <w:szCs w:val="20"/>
          <w:lang w:eastAsia="ja-JP"/>
        </w:rPr>
        <w:t>Kelmis</w:t>
      </w:r>
      <w:proofErr w:type="spellEnd"/>
      <w:r w:rsidRPr="00D273B2">
        <w:rPr>
          <w:rFonts w:ascii="Verdana" w:hAnsi="Verdana" w:cs="Arial"/>
          <w:sz w:val="20"/>
          <w:szCs w:val="20"/>
          <w:lang w:eastAsia="ja-JP"/>
        </w:rPr>
        <w:t>:</w:t>
      </w:r>
      <w:r w:rsidRPr="00D273B2">
        <w:rPr>
          <w:rFonts w:ascii="Verdana" w:hAnsi="Verdana" w:cs="Arial"/>
          <w:sz w:val="20"/>
          <w:szCs w:val="20"/>
          <w:lang w:eastAsia="ja-JP"/>
        </w:rPr>
        <w:tab/>
      </w:r>
      <w:r w:rsidRPr="00D273B2">
        <w:rPr>
          <w:rFonts w:ascii="Verdana" w:hAnsi="Verdana" w:cs="Arial"/>
          <w:sz w:val="20"/>
          <w:szCs w:val="20"/>
          <w:lang w:eastAsia="ja-JP"/>
        </w:rPr>
        <w:tab/>
        <w:t xml:space="preserve">von 6 auf 37, </w:t>
      </w:r>
      <w:r>
        <w:rPr>
          <w:rFonts w:ascii="Verdana" w:hAnsi="Verdana" w:cs="Arial"/>
          <w:sz w:val="20"/>
          <w:szCs w:val="20"/>
          <w:lang w:eastAsia="ja-JP"/>
        </w:rPr>
        <w:t xml:space="preserve">ein Plus </w:t>
      </w:r>
      <w:r w:rsidRPr="00D273B2">
        <w:rPr>
          <w:rFonts w:ascii="Verdana" w:hAnsi="Verdana" w:cs="Arial"/>
          <w:sz w:val="20"/>
          <w:szCs w:val="20"/>
          <w:lang w:eastAsia="ja-JP"/>
        </w:rPr>
        <w:t>von 31</w:t>
      </w:r>
      <w:r>
        <w:rPr>
          <w:rFonts w:ascii="Verdana" w:hAnsi="Verdana" w:cs="Arial"/>
          <w:sz w:val="20"/>
          <w:szCs w:val="20"/>
          <w:lang w:eastAsia="ja-JP"/>
        </w:rPr>
        <w:t xml:space="preserve"> Studenten</w:t>
      </w:r>
    </w:p>
    <w:p w:rsidR="009B5AEC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  <w:lang w:eastAsia="ja-JP"/>
        </w:rPr>
      </w:pPr>
      <w:r w:rsidRPr="00D273B2">
        <w:rPr>
          <w:rFonts w:ascii="Verdana" w:hAnsi="Verdana" w:cs="Arial"/>
          <w:sz w:val="20"/>
          <w:szCs w:val="20"/>
          <w:lang w:eastAsia="ja-JP"/>
        </w:rPr>
        <w:t xml:space="preserve">St </w:t>
      </w:r>
      <w:proofErr w:type="spellStart"/>
      <w:r w:rsidRPr="00D273B2">
        <w:rPr>
          <w:rFonts w:ascii="Verdana" w:hAnsi="Verdana" w:cs="Arial"/>
          <w:sz w:val="20"/>
          <w:szCs w:val="20"/>
          <w:lang w:eastAsia="ja-JP"/>
        </w:rPr>
        <w:t>Vith</w:t>
      </w:r>
      <w:proofErr w:type="spellEnd"/>
      <w:r w:rsidRPr="00D273B2">
        <w:rPr>
          <w:rFonts w:ascii="Verdana" w:hAnsi="Verdana" w:cs="Arial"/>
          <w:sz w:val="20"/>
          <w:szCs w:val="20"/>
          <w:lang w:eastAsia="ja-JP"/>
        </w:rPr>
        <w:t>:</w:t>
      </w:r>
      <w:r w:rsidRPr="00D273B2">
        <w:rPr>
          <w:rFonts w:ascii="Verdana" w:hAnsi="Verdana" w:cs="Arial"/>
          <w:sz w:val="20"/>
          <w:szCs w:val="20"/>
          <w:lang w:eastAsia="ja-JP"/>
        </w:rPr>
        <w:tab/>
      </w:r>
      <w:r w:rsidRPr="00D273B2">
        <w:rPr>
          <w:rFonts w:ascii="Verdana" w:hAnsi="Verdana" w:cs="Arial"/>
          <w:sz w:val="20"/>
          <w:szCs w:val="20"/>
          <w:lang w:eastAsia="ja-JP"/>
        </w:rPr>
        <w:tab/>
        <w:t xml:space="preserve">von 1 auf 21, </w:t>
      </w:r>
      <w:r>
        <w:rPr>
          <w:rFonts w:ascii="Verdana" w:hAnsi="Verdana" w:cs="Arial"/>
          <w:sz w:val="20"/>
          <w:szCs w:val="20"/>
          <w:lang w:eastAsia="ja-JP"/>
        </w:rPr>
        <w:t>ein Plus</w:t>
      </w:r>
      <w:r w:rsidRPr="00D273B2">
        <w:rPr>
          <w:rFonts w:ascii="Verdana" w:hAnsi="Verdana" w:cs="Arial"/>
          <w:sz w:val="20"/>
          <w:szCs w:val="20"/>
          <w:lang w:eastAsia="ja-JP"/>
        </w:rPr>
        <w:t xml:space="preserve"> von 20</w:t>
      </w:r>
      <w:r>
        <w:rPr>
          <w:rFonts w:ascii="Verdana" w:hAnsi="Verdana" w:cs="Arial"/>
          <w:sz w:val="20"/>
          <w:szCs w:val="20"/>
          <w:lang w:eastAsia="ja-JP"/>
        </w:rPr>
        <w:t xml:space="preserve"> Studenten</w:t>
      </w:r>
    </w:p>
    <w:p w:rsidR="009B5AEC" w:rsidRPr="00D273B2" w:rsidRDefault="009B5AEC" w:rsidP="009B5AEC">
      <w:pPr>
        <w:pStyle w:val="Listenabsatz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  <w:lang w:eastAsia="ja-JP"/>
        </w:rPr>
      </w:pPr>
    </w:p>
    <w:p w:rsidR="009B5AEC" w:rsidRPr="00D273B2" w:rsidRDefault="009B5AEC" w:rsidP="009B5AEC">
      <w:pPr>
        <w:spacing w:after="0"/>
        <w:rPr>
          <w:rFonts w:ascii="Verdana" w:hAnsi="Verdana" w:cs="Arial"/>
          <w:sz w:val="20"/>
          <w:szCs w:val="20"/>
          <w:lang w:eastAsia="ja-JP"/>
        </w:rPr>
      </w:pPr>
    </w:p>
    <w:p w:rsidR="009B5AEC" w:rsidRDefault="009B5AEC" w:rsidP="009B5AEC">
      <w:pPr>
        <w:spacing w:after="0"/>
        <w:rPr>
          <w:rFonts w:ascii="Verdana" w:hAnsi="Verdana" w:cs="Arial"/>
          <w:sz w:val="20"/>
          <w:szCs w:val="20"/>
          <w:lang w:eastAsia="ja-JP"/>
        </w:rPr>
      </w:pPr>
      <w:r>
        <w:rPr>
          <w:rFonts w:ascii="Verdana" w:hAnsi="Verdana" w:cs="Arial"/>
          <w:sz w:val="20"/>
          <w:szCs w:val="20"/>
          <w:lang w:eastAsia="ja-JP"/>
        </w:rPr>
        <w:t>108 der zusätzlich</w:t>
      </w:r>
      <w:r w:rsidRPr="00D273B2">
        <w:rPr>
          <w:rFonts w:ascii="Verdana" w:hAnsi="Verdana" w:cs="Arial"/>
          <w:sz w:val="20"/>
          <w:szCs w:val="20"/>
          <w:lang w:eastAsia="ja-JP"/>
        </w:rPr>
        <w:t xml:space="preserve"> </w:t>
      </w:r>
      <w:r>
        <w:rPr>
          <w:rFonts w:ascii="Verdana" w:hAnsi="Verdana" w:cs="Arial"/>
          <w:sz w:val="20"/>
          <w:szCs w:val="20"/>
          <w:lang w:eastAsia="ja-JP"/>
        </w:rPr>
        <w:t xml:space="preserve">115 Studenten, die Eingliederungseinkommen beziehen, </w:t>
      </w:r>
      <w:r w:rsidRPr="00D273B2">
        <w:rPr>
          <w:rFonts w:ascii="Verdana" w:hAnsi="Verdana" w:cs="Arial"/>
          <w:sz w:val="20"/>
          <w:szCs w:val="20"/>
          <w:lang w:eastAsia="ja-JP"/>
        </w:rPr>
        <w:t xml:space="preserve"> </w:t>
      </w:r>
      <w:r>
        <w:rPr>
          <w:rFonts w:ascii="Verdana" w:hAnsi="Verdana" w:cs="Arial"/>
          <w:sz w:val="20"/>
          <w:szCs w:val="20"/>
          <w:lang w:eastAsia="ja-JP"/>
        </w:rPr>
        <w:t>gehören zu den 3</w:t>
      </w:r>
      <w:r w:rsidRPr="00D273B2">
        <w:rPr>
          <w:rFonts w:ascii="Verdana" w:hAnsi="Verdana" w:cs="Arial"/>
          <w:sz w:val="20"/>
          <w:szCs w:val="20"/>
          <w:lang w:eastAsia="ja-JP"/>
        </w:rPr>
        <w:t xml:space="preserve"> obengenannten Gemeinden.</w:t>
      </w:r>
    </w:p>
    <w:p w:rsidR="009B5AEC" w:rsidRPr="00D273B2" w:rsidRDefault="009B5AEC" w:rsidP="009B5AEC">
      <w:pPr>
        <w:spacing w:after="0"/>
        <w:rPr>
          <w:rFonts w:ascii="Verdana" w:hAnsi="Verdana" w:cs="Arial"/>
          <w:sz w:val="20"/>
          <w:szCs w:val="20"/>
          <w:lang w:eastAsia="ja-JP"/>
        </w:rPr>
      </w:pPr>
    </w:p>
    <w:p w:rsidR="009B5AEC" w:rsidRPr="00D273B2" w:rsidRDefault="009B5AEC" w:rsidP="009B5AEC">
      <w:pPr>
        <w:spacing w:after="0"/>
        <w:rPr>
          <w:rFonts w:ascii="Verdana" w:hAnsi="Verdana" w:cs="Arial"/>
          <w:sz w:val="20"/>
          <w:szCs w:val="20"/>
          <w:lang w:eastAsia="ja-JP"/>
        </w:rPr>
      </w:pPr>
    </w:p>
    <w:p w:rsidR="00597E6D" w:rsidRPr="006E2849" w:rsidRDefault="009B5AEC" w:rsidP="006E2849">
      <w:pPr>
        <w:spacing w:after="0"/>
        <w:rPr>
          <w:rFonts w:ascii="Verdana" w:hAnsi="Verdana" w:cs="Arial"/>
          <w:sz w:val="20"/>
          <w:szCs w:val="20"/>
          <w:lang w:eastAsia="ja-JP"/>
        </w:rPr>
      </w:pPr>
      <w:r>
        <w:rPr>
          <w:rFonts w:ascii="Verdana" w:hAnsi="Verdana" w:cs="Arial"/>
          <w:sz w:val="20"/>
          <w:szCs w:val="20"/>
          <w:lang w:eastAsia="ja-JP"/>
        </w:rPr>
        <w:t>Am 25. September findet die nächste gemeinsame Arbeitssitzung mit den ÖSHZ- Präsidenten und Sekretären statt. Zu diesem Anlass werde ich die Thematik ansprechen und insbesondere die 3 am meisten betroffenen ÖSHZ um eine Analyse bitten. Danach können wir gemeinsam nach Lösungen suchen.</w:t>
      </w:r>
    </w:p>
    <w:p w:rsidR="003138CA" w:rsidRDefault="003138CA"/>
    <w:sectPr w:rsidR="00313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954"/>
    <w:multiLevelType w:val="hybridMultilevel"/>
    <w:tmpl w:val="E0CED84C"/>
    <w:lvl w:ilvl="0" w:tplc="4E4C1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B3F67"/>
    <w:multiLevelType w:val="hybridMultilevel"/>
    <w:tmpl w:val="5504FC90"/>
    <w:lvl w:ilvl="0" w:tplc="D6CCEB58">
      <w:start w:val="12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4C5E"/>
    <w:multiLevelType w:val="hybridMultilevel"/>
    <w:tmpl w:val="A18860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0478"/>
    <w:multiLevelType w:val="hybridMultilevel"/>
    <w:tmpl w:val="64A22F0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1"/>
    <w:rsid w:val="003138CA"/>
    <w:rsid w:val="004850B1"/>
    <w:rsid w:val="00597E6D"/>
    <w:rsid w:val="006E2849"/>
    <w:rsid w:val="009B5AEC"/>
    <w:rsid w:val="00A80E7F"/>
    <w:rsid w:val="00B34854"/>
    <w:rsid w:val="00C87F2C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97E6D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E6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34854"/>
    <w:pPr>
      <w:pBdr>
        <w:bottom w:val="single" w:sz="8" w:space="4" w:color="4F81BD" w:themeColor="accent1"/>
      </w:pBdr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4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andardWebZchn">
    <w:name w:val="Standard (Web) Zchn"/>
    <w:rsid w:val="00B34854"/>
    <w:rPr>
      <w:rFonts w:ascii="Arial Unicode MS" w:eastAsia="Arial Unicode MS" w:hAnsi="Arial Unicode MS" w:cs="Tahoma" w:hint="eastAsia"/>
      <w:sz w:val="24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97E6D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E6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34854"/>
    <w:pPr>
      <w:pBdr>
        <w:bottom w:val="single" w:sz="8" w:space="4" w:color="4F81BD" w:themeColor="accent1"/>
      </w:pBdr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4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andardWebZchn">
    <w:name w:val="Standard (Web) Zchn"/>
    <w:rsid w:val="00B34854"/>
    <w:rPr>
      <w:rFonts w:ascii="Arial Unicode MS" w:eastAsia="Arial Unicode MS" w:hAnsi="Arial Unicode MS" w:cs="Tahoma" w:hint="eastAsia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LUEBBERT, Vanessa</dc:creator>
  <cp:lastModifiedBy>ANTONIADIS, Antonios</cp:lastModifiedBy>
  <cp:revision>2</cp:revision>
  <dcterms:created xsi:type="dcterms:W3CDTF">2015-09-09T13:24:00Z</dcterms:created>
  <dcterms:modified xsi:type="dcterms:W3CDTF">2015-09-09T13:24:00Z</dcterms:modified>
</cp:coreProperties>
</file>